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VO-ID211651 (Brandenburg) — Ordnungswidrigkeiten</w:t>
      </w:r>
    </w:p>
    <w:p>
      <w:r>
        <w:rPr>
          <w:color w:val="555555"/>
          <w:sz w:val="18"/>
        </w:rPr>
        <w:t xml:space="preserve">Verordnung zur Festsetzung des Wasserschutzgebietes für das Wasserwerk Berlin-Friedrichshagen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Ordnungswidrig im Sinne des § 41 Abs. 2 Nr. 2 des Wasserhaushaltsgesetzes und § 145 Abs. 1 Nr. 5 Buchstabe b des Brandenburgischen Wassergesetzes handelt, wer vorsätzlich oder fahrlässig eine nach den §§ 3, 4 und 5 verbotene Handlung ohne eine Befreiung gemäß § 7 vornimmt.</w:t>
      </w:r>
    </w:p>
    <w:p>
      <w:r>
        <w:t xml:space="preserve">(2) Die Ordnungswidrigkeit kann mit einer Geldbuße bis zu 100 000 Deutsche Mark geahndet werden.</w:t>
      </w:r>
    </w:p>
    <w:p>
      <w:r>
        <w:rPr>
          <w:color w:val="555555"/>
          <w:sz w:val="17"/>
        </w:rPr>
        <w:t xml:space="preserve">Zitiervorschlag: § 10 VO-ID211651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https://recht.nulegal.eu/gesetze/VO-ID211651/10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