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VO-ID211651 (Brandenburg) — Allgemeines</w:t>
      </w:r>
    </w:p>
    <w:p>
      <w:r>
        <w:rPr>
          <w:color w:val="555555"/>
          <w:sz w:val="18"/>
        </w:rPr>
        <w:t xml:space="preserve">Verordnung zur Festsetzung des Wasserschutzgebietes für das Wasserwerk Berlin-Friedrichshagen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Sicherung der öffentlichen Wasserversorgung wird zum Schutz des Grundwassers im Einzugsgebiet der Brunnengalerien A und B des Wasserwerkes Berlin-Friedrichshagen das in § 2 näher umschriebene Wasserschutzgebiet festgesetzt. Begünstigter im Sinne des § 16 Abs. 1 des Brandenburgischen Wassergesetzes sind die Berliner Wasserbetriebe. Für dieses Gebiet werden die Schutzbestimmungen nach den §§ 3 bis 7 erlassen.</w:t>
      </w:r>
    </w:p>
    <w:p>
      <w:r>
        <w:t xml:space="preserve">(2) Das Wasserschutzgebiet besteht nur aus der weiteren Schutzzone (Zone III). Die Zone III unterteilt sich in die Zone III A und die Zone III B.</w:t>
      </w:r>
    </w:p>
    <w:p>
      <w:r>
        <w:rPr>
          <w:color w:val="555555"/>
          <w:sz w:val="17"/>
        </w:rPr>
        <w:t xml:space="preserve">Zitiervorschlag: § 1 VO-ID211651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