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3 VO-ID211650 (Brandenburg)</w:t>
      </w:r>
    </w:p>
    <w:p>
      <w:r>
        <w:rPr>
          <w:color w:val="555555"/>
          <w:sz w:val="18"/>
        </w:rPr>
        <w:t xml:space="preserve">Verordnung zur Festsetzung des Wasserschutzgebietes für das Wasserwerk Erkner</w:t>
      </w:r>
    </w:p>
    <w:p>
      <w:r>
        <w:rPr>
          <w:color w:val="555555"/>
          <w:sz w:val="18"/>
        </w:rPr>
        <w:t xml:space="preserve">Landesrecht Brandenburg</w:t>
      </w:r>
    </w:p>
    <w:p>
      <w:r>
        <w:rPr>
          <w:color w:val="555555"/>
          <w:sz w:val="18"/>
        </w:rPr>
        <w:t xml:space="preserve">Stand: 01.08.2026 (konsolidierte Textfassung, kein amtliches Inkrafttretensdatum)</w:t>
      </w:r>
    </w:p>
    <w:p>
      <w:r>
        <w:t xml:space="preserve">Begriffsbestimmungen</w:t>
      </w:r>
    </w:p>
    <w:p>
      <w:r>
        <w:t xml:space="preserve">„Freilandtierhaltung“ liegt vor, wenn sich die Tiere über längere Zeiträume (ganzjährig oder saisonal) ganztägig im Freien aufhalten.</w:t>
      </w:r>
    </w:p>
    <w:p>
      <w:r>
        <w:t xml:space="preserve">Unter den Begriff „Dauergrünland“ fallen Grünlandflächen, die nach ihren Standortbedingungen nur für Grünlandnutzung geeignet sind, sowie alle Flächen, auf denen seit mindestens fünf Jahren ununterbrochen und nicht im Rahmen einer Fruchtfolge Grünlandnutzung besteht.</w:t>
      </w:r>
    </w:p>
    <w:p>
      <w:r>
        <w:rPr>
          <w:color w:val="555555"/>
          <w:sz w:val="17"/>
        </w:rPr>
        <w:t xml:space="preserve">Zitiervorschlag: Anlage 3 VO-ID211650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https://recht.nulegal.eu/gesetze/VO-ID211650/anlage-3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