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VO-ID211650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Erkner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Fassungsbereich sind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das Errichten oder Erweitern von baulichen Anlagen,</w:t>
      </w:r>
    </w:p>
    <w:p>
      <w:r>
        <w:t xml:space="preserve">der Umgang mit wassergefährdenden Stoffen,</w:t>
      </w:r>
    </w:p>
    <w:p>
      <w:r>
        <w:t xml:space="preserve">das Durchführen von Bohrungen, ausgenommen Maßnahmen zur Abwehr von Gefahren für das Grundwasser unter Beachtung der Sicherheitsvorkehrungen zum Grundwasserschutz,</w:t>
      </w:r>
    </w:p>
    <w:p>
      <w:r>
        <w:t xml:space="preserve">Veränderungen und Aufschlüsse der Erdoberfläche.</w:t>
      </w:r>
    </w:p>
    <w:p>
      <w:r>
        <w:rPr>
          <w:color w:val="555555"/>
          <w:sz w:val="17"/>
        </w:rPr>
        <w:t xml:space="preserve">Zitiervorschlag: § 5 VO-ID211650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https://recht.nulegal.eu/gesetze/VO-ID211650/5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