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VO-ID211650 (Brandenburg) — Entschädigung und Ausgleich</w:t>
      </w:r>
    </w:p>
    <w:p>
      <w:r>
        <w:rPr>
          <w:color w:val="555555"/>
          <w:sz w:val="18"/>
        </w:rPr>
        <w:t xml:space="preserve">Verordnung zur Festsetzung des Wasserschutzgebietes für das Wasserwerk Erkner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Entschädigung und Ausgleich sind nach Maßgabe des § 16 Abs. 2, 3 und 4 des Brandenburgischen Wassergesetzes zu leisten.</w:t>
      </w:r>
    </w:p>
    <w:p>
      <w:r>
        <w:rPr>
          <w:color w:val="555555"/>
          <w:sz w:val="17"/>
        </w:rPr>
        <w:t xml:space="preserve">Zitiervorschlag: § 10 VO-ID211650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https://recht.nulegal.eu/gesetze/VO-ID211650/10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