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VO-ID211641 (Brandenburg)</w:t>
      </w:r>
    </w:p>
    <w:p>
      <w:r>
        <w:rPr>
          <w:color w:val="555555"/>
          <w:sz w:val="18"/>
        </w:rPr>
        <w:t xml:space="preserve">Verordnung über die Aufhebung des Wasserschutzgebietes für das Wasserwerk Gatow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Das auf der Grundlage des Landeskulturgesetzes vom 14. Mai 1970</w:t>
      </w:r>
    </w:p>
    <w:p>
      <w:r>
        <w:t xml:space="preserve">(GBl. I Nr. 12 S. 67), des Wassergesetzes vom 17. April 1963 (GBl. I Nr. 5</w:t>
      </w:r>
    </w:p>
    <w:p>
      <w:r>
        <w:t xml:space="preserve">S. 77) und der Verordnung über die Festlegung von Schutzgebieten für</w:t>
      </w:r>
    </w:p>
    <w:p>
      <w:r>
        <w:t xml:space="preserve">die Wasserentnahme aus dem Grund- und Oberflächenwasser zur</w:t>
      </w:r>
    </w:p>
    <w:p>
      <w:r>
        <w:t xml:space="preserve">Trinkwassergewinnung vom 11. Juli 1974 (GBl. I Nr. 37 S. 349) mit Beschluss vom</w:t>
      </w:r>
    </w:p>
    <w:p>
      <w:r>
        <w:t xml:space="preserve">19. März 1971 des Rates des Kreises Angermünde für das bei der</w:t>
      </w:r>
    </w:p>
    <w:p>
      <w:r>
        <w:t xml:space="preserve">Gemeinde Gatow gelegene Wasserwerk des Petrolchemischen Kombinates Schwedt</w:t>
      </w:r>
    </w:p>
    <w:p>
      <w:r>
        <w:t xml:space="preserve">festgesetzte Wasserschutzgebiet wird hiermit aufgehoben.</w:t>
      </w:r>
    </w:p>
    <w:p>
      <w:r>
        <w:rPr>
          <w:color w:val="555555"/>
          <w:sz w:val="17"/>
        </w:rPr>
        <w:t xml:space="preserve">Zitiervorschlag: § 1 VO-ID211641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https://recht.nulegal.eu/gesetze/VO-ID211641/1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