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VO-ID211636 (Brandenburg)</w:t>
      </w:r>
    </w:p>
    <w:p>
      <w:r>
        <w:rPr>
          <w:color w:val="555555"/>
          <w:sz w:val="18"/>
        </w:rPr>
        <w:t xml:space="preserve">Verordnung über die Anwendung der Störfall-Verordnung auf nicht wirtschaftlich genutzte Betriebsbereiche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9. Mai 2000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t xml:space="preserve">________________________</w:t>
      </w:r>
    </w:p>
    <w:p>
      <w:r>
        <w:t xml:space="preserve">1 Diese Verordnung dient in Verbindung mit dem Landesimmissionsschutzgesetz in der Fassung der Bekanntmachung vom 22. Juli 1999 (GVBl. I S. 386) der Umsetzung der Richtlinie 96/82/EG des Rates vom 9. Dezember 1996 zur Beherrschung der Gefahren bei schweren Unfällen mit gefährlichen Stoffen (ABl. EG 1997 Nr. L 10 S. 13).</w:t>
      </w:r>
    </w:p>
    <w:p>
      <w:r>
        <w:rPr>
          <w:color w:val="555555"/>
          <w:sz w:val="17"/>
        </w:rPr>
        <w:t xml:space="preserve">Zitiervorschlag: § 2 VO-ID211636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https://recht.nulegal.eu/gesetze/VO-ID211636/2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