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VO-ID211636 (Brandenburg)</w:t>
      </w:r>
    </w:p>
    <w:p>
      <w:r>
        <w:rPr>
          <w:color w:val="555555"/>
          <w:sz w:val="18"/>
        </w:rPr>
        <w:t xml:space="preserve">Verordnung über die Anwendung der Störfall-Verordnung auf nicht wirtschaftlich genutzte Betriebsbereiche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Betriebsbereiche oder Teile von Betriebsbereichen, die nicht gewerblichen Zwecken dienen und nicht im Rahmen wirtschaftlicher Unternehmungen Verwendung finden, gelten in dem durch § 1 Abs. 1 und 2 der Störfall-Verordnung beschriebenen Anwendungsbereich die Regelungen des § 2 und des zweiten und vierten Teils der Störfall-Verordnung entsprechend.</w:t>
      </w:r>
    </w:p>
    <w:p>
      <w:r>
        <w:rPr>
          <w:color w:val="555555"/>
          <w:sz w:val="17"/>
        </w:rPr>
        <w:t xml:space="preserve">Zitiervorschlag: § 1 VO-ID211636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https://recht.nulegal.eu/gesetze/VO-ID211636/1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