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VO-ID211630 (Brandenburg)</w:t>
      </w:r>
    </w:p>
    <w:p>
      <w:r>
        <w:rPr>
          <w:color w:val="555555"/>
          <w:sz w:val="18"/>
        </w:rPr>
        <w:t xml:space="preserve">Verordnung über die Auflösung des Landesamtes für Bauen, Bautechnik und Wohnen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 Verordnung tritt am 1. Januar 2000 in Kraft.</w:t>
      </w:r>
    </w:p>
    <w:p>
      <w:r>
        <w:t xml:space="preserve">Potsdam, den 27. August 1999</w:t>
      </w:r>
    </w:p>
    <w:p>
      <w:r>
        <w:t xml:space="preserve">Die Landesregierung des Landes Brandenburg</w:t>
      </w:r>
    </w:p>
    <w:p>
      <w:r>
        <w:t xml:space="preserve">Der Ministerpräsident</w:t>
      </w:r>
    </w:p>
    <w:p>
      <w:r>
        <w:t xml:space="preserve">Manfred Stolpe</w:t>
      </w:r>
    </w:p>
    <w:p>
      <w:r>
        <w:rPr>
          <w:color w:val="555555"/>
          <w:sz w:val="17"/>
        </w:rPr>
        <w:t xml:space="preserve">Zitiervorschlag: § 2 VO-ID211630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https://recht.nulegal.eu/gesetze/VO-ID211630/2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