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VO-ID211629 (Brandenburg)</w:t>
      </w:r>
    </w:p>
    <w:p>
      <w:r>
        <w:rPr>
          <w:color w:val="555555"/>
          <w:sz w:val="18"/>
        </w:rPr>
        <w:t xml:space="preserve">Verordnung über die Auflösung der Landesoberbehörde „Materialprüfungsamt”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1. Januar 2000 in Kraft.</w:t>
      </w:r>
    </w:p>
    <w:p>
      <w:r>
        <w:t xml:space="preserve">Potsdam, den 16. Juli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Wirtschaft, Mittelstand und</w:t>
      </w:r>
    </w:p>
    <w:p>
      <w:r>
        <w:t xml:space="preserve">Technologie</w:t>
      </w:r>
    </w:p>
    <w:p>
      <w:r>
        <w:t xml:space="preserve">Dr. Burkhard Dreher</w:t>
      </w:r>
    </w:p>
    <w:p>
      <w:r>
        <w:rPr>
          <w:color w:val="555555"/>
          <w:sz w:val="17"/>
        </w:rPr>
        <w:t xml:space="preserve">Zitiervorschlag: § 2 VO-ID211629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