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VO-ID211623 (Brandenburg)</w:t>
      </w:r>
    </w:p>
    <w:p>
      <w:r>
        <w:rPr>
          <w:color w:val="555555"/>
          <w:sz w:val="18"/>
        </w:rPr>
        <w:t xml:space="preserve">Verordnung über die Aufhebung von Wasserschutzgebieten im Landkreis Prignitz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 Verordnung tritt am Tage nach der Verkündung in</w:t>
      </w:r>
    </w:p>
    <w:p>
      <w:r>
        <w:t xml:space="preserve">Kraft.</w:t>
      </w:r>
    </w:p>
    <w:p>
      <w:r>
        <w:t xml:space="preserve">Potsdam, den 27. Juli 1999</w:t>
      </w:r>
    </w:p>
    <w:p>
      <w:r>
        <w:t xml:space="preserve">Die Landesregierung des Landes Brandenburg</w:t>
      </w:r>
    </w:p>
    <w:p>
      <w:r>
        <w:t xml:space="preserve">Der Ministerpräsident</w:t>
      </w:r>
    </w:p>
    <w:p>
      <w:r>
        <w:t xml:space="preserve">Manfred Stolpe</w:t>
      </w:r>
    </w:p>
    <w:p>
      <w:r>
        <w:t xml:space="preserve">Der Minister für Umwelt, Naturschutz und</w:t>
      </w:r>
    </w:p>
    <w:p>
      <w:r>
        <w:t xml:space="preserve">Raumordnung</w:t>
      </w:r>
    </w:p>
    <w:p>
      <w:r>
        <w:t xml:space="preserve">Dr. Eberhard Henne</w:t>
      </w:r>
    </w:p>
    <w:p>
      <w:r>
        <w:rPr>
          <w:color w:val="555555"/>
          <w:sz w:val="17"/>
        </w:rPr>
        <w:t xml:space="preserve">Zitiervorschlag: § 2 VO-ID211623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https://recht.nulegal.eu/gesetze/VO-ID211623/2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