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VO-ID211614 (Brandenburg) — Berufung</w:t>
      </w:r>
    </w:p>
    <w:p>
      <w:r>
        <w:rPr>
          <w:color w:val="555555"/>
          <w:sz w:val="18"/>
        </w:rPr>
        <w:t xml:space="preserve">Bergverordnung über den arbeitssicherheitlichen und den betriebsärztlichen Dienst</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Unternehmer hat Fachkräfte für Arbeitssicherheit (§ 3 Abs. 2) in der Zahl zu berufen, daß die sich für seinen Betrieb aus Anlage 1 ergebenden Mindestanforderungen erfüllt werden. Eine Fachkraft im Sinne von § 3 Abs. 2 Nr. 1 Buchstabe a) kann ganz oder teilweise an die Stelle von Fachkräften im Sinne von § 3 Abs. 2 Nr. 1 Buchstabe b) oder c) und eine Fachkraft im Sinne von § 3 Abs. 2 Nr. 1 Buchstabe b) ganz oder teilweise an die Stelle von Fachkräften im Sinne von § 3 Abs. 2 Nr. 1 Buchstabe c) treten. Zur Unterstützung der Fachkräfte für Arbeitssicherheit hat der Unternehmer Hilfspersonal in erforderlichem Umfang zur Verfügung zu stellen. Die Verpflichtung des Unternehmers zur Bestellung von verantwortlichen Personen für besondere sicherheitliche Aufgaben (§ 3 Abs. 2 Nr. 2) bleibt unberührt.</w:t>
      </w:r>
    </w:p>
    <w:p>
      <w:r>
        <w:t xml:space="preserve">(2) Das Bergamt kann im Einzelfall abweichend von Absatz 1</w:t>
      </w:r>
    </w:p>
    <w:p>
      <w:r>
        <w:t xml:space="preserve">zustimmen, daß verantwortliche Personen für besondere sicherheitliche Aufgaben (§ 3 Abs. 2 Nr. 2) ganz oder teilweise an die Stelle von besonderen Fachkräften für Arbeitssicherheit im Sinne von § 3 Abs. 2 Nr. 1 treten,</w:t>
      </w:r>
    </w:p>
    <w:p>
      <w:r>
        <w:t xml:space="preserve">eine größere Zahl von Einsatzstunden für Fachkräfte für Arbeitssicherheit verlangen, wenn dies</w:t>
      </w:r>
    </w:p>
    <w:p>
      <w:r>
        <w:t xml:space="preserve">die Betriebsart und die damit verbundenen Unfall- und Gesundheitsgefahren,</w:t>
      </w:r>
    </w:p>
    <w:p>
      <w:r>
        <w:t xml:space="preserve">die Zahl und die Zusammensetzung der Beschäftigten,</w:t>
      </w:r>
    </w:p>
    <w:p>
      <w:r>
        <w:t xml:space="preserve">die Betriebsorganisation, insbesondere im Hinblick auf die Zahl und die Art der für den Arbeitsschutz und die Unfallverhütung verantwortlichen Personen,</w:t>
      </w:r>
    </w:p>
    <w:p>
      <w:r>
        <w:t xml:space="preserve">zur Erfüllung von Aufgaben nach § 4 erfordern, oder</w:t>
      </w:r>
    </w:p>
    <w:p>
      <w:r>
        <w:t xml:space="preserve">einer geringeren Zahl von Einsatzstunden für Fachkräfte für Arbeitssicherheit auf Antrag des Unternehmers zustimmen, wenn diese unter Berücksichtigung der in Nummer 2 Buchstabe a) bis c) aufgeführten Merkmale die Aufgaben nach § 4 erfüllen können.</w:t>
      </w:r>
    </w:p>
    <w:p>
      <w:r>
        <w:t xml:space="preserve">(3) Einer Zustimmung nach Absatz 2 Nr. 3 bedarf die Anwendung der in der Anlage 1 für eine bestimmte Zahl von Beschäftigten (Beschäftigtengruppe) vorgeschriebenen Einsatzstunden dann nicht, wenn die Zahl der Beschäftigten im Einzelfall die in der Anlage 1 für diese Beschäftigtengruppe vorgesehene Höchstzahl um nicht mehr als 10 vom Hundert überschreitet.</w:t>
      </w:r>
    </w:p>
    <w:p>
      <w:r>
        <w:t xml:space="preserve">(4) Die Bestellung als Fachkraft nach § 3 Abs. 2 muß schriftlich oder elektronisch und unter Bezeichnung der übertragenen Aufgaben und Befugnisse vorgenommen werden.</w:t>
      </w:r>
    </w:p>
    <w:p>
      <w:r>
        <w:t xml:space="preserve">(5) Der Unternehmer eines Betriebes mit geringer Zahl von Beschäftigten kann mit Zustimmung des Bergamtes von der Einrichtung eines betrieblichen oder außerbetrieblichen Dienstes absehen, wenn er</w:t>
      </w:r>
    </w:p>
    <w:p>
      <w:r>
        <w:t xml:space="preserve">an Informations- und Motivationsmaßnahmen eines Unfallversicherungsträgers teilgenommen hat,</w:t>
      </w:r>
    </w:p>
    <w:p>
      <w:r>
        <w:t xml:space="preserve">sich in regelmäßigen Zeitabständen in geeigneter Weise fortbilden läßt und</w:t>
      </w:r>
    </w:p>
    <w:p>
      <w:r>
        <w:t xml:space="preserve">eine bedarfsgerechte und qualifizierte Beratung in Fragen der Arbeitssicherheit und des Gesundheitsschutzes nachweist.</w:t>
      </w:r>
    </w:p>
    <w:p>
      <w:r>
        <w:t xml:space="preserve">Über die Erteilung der Zustimmung entscheidet das Bergamt nach Beteiligung des für den Betrieb zuständigen Unfallversicherungsträgers.</w:t>
      </w:r>
    </w:p>
    <w:p>
      <w:r>
        <w:rPr>
          <w:color w:val="555555"/>
          <w:sz w:val="17"/>
        </w:rPr>
        <w:t xml:space="preserve">Zitiervorschlag: § 6 VO-ID211614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https://recht.nulegal.eu/gesetze/VO-ID211614/6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