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VO-ID211614 (Brandenburg) — Einrichtungen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den betriebsärztlichen Dienst müssen folgende Räume mit der erforderlichen Ausstattung einschließlich Geräten zur Verfügung stehen:</w:t>
      </w:r>
    </w:p>
    <w:p>
      <w:r>
        <w:t xml:space="preserve">Arzt-, Warte- und Umkleideraum,</w:t>
      </w:r>
    </w:p>
    <w:p>
      <w:r>
        <w:t xml:space="preserve">Röntgenraum,</w:t>
      </w:r>
    </w:p>
    <w:p>
      <w:r>
        <w:t xml:space="preserve">Funktionslabor und</w:t>
      </w:r>
    </w:p>
    <w:p>
      <w:r>
        <w:t xml:space="preserve">medizinisches Labor.</w:t>
      </w:r>
    </w:p>
    <w:p>
      <w:r>
        <w:t xml:space="preserve">(2) Im übrigen gilt für Einrichtungen § 7 entsprechend.</w:t>
      </w:r>
    </w:p>
    <w:p>
      <w:r>
        <w:rPr>
          <w:color w:val="555555"/>
          <w:sz w:val="17"/>
        </w:rPr>
        <w:t xml:space="preserve">Zitiervorschlag: § 12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