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VO-ID211614 (Brandenburg) — Fachkunde</w:t>
      </w:r>
    </w:p>
    <w:p>
      <w:r>
        <w:rPr>
          <w:color w:val="555555"/>
          <w:sz w:val="18"/>
        </w:rPr>
        <w:t xml:space="preserve">Bergverordnung über den arbeitssicherheitlichen und den betriebsärztlichen Dienst</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Unternehmer darf als Betriebsärzte nur Personen berufen, die zur Ausübung des ärztlichen Berufes berechtigt und mit den Verhältnissen der Betriebe vertraut sind sowie über die zur Erfüllung der ihnen zu übertragenden Aufgaben erforderliche arbeitsmedizinische Fachkunde verfügen.</w:t>
      </w:r>
    </w:p>
    <w:p>
      <w:r>
        <w:t xml:space="preserve">(2) Die Anforderungen an die Fachkunde des Hilfspersonals richten sich nach den Ausbildungsordnungen für die Berufe der in § 8 Abs. 2 aufgeführten Personen oder besonderen dem Oberbergamt des Landes Brandenburg anzuzeigenden Plänen.</w:t>
      </w:r>
    </w:p>
    <w:p>
      <w:r>
        <w:t xml:space="preserve">(3) Das Oberbergamt des Landes Brandenburg kann dem Unternehmer gestatten, auch solche Ärzte als Betriebsärzte zu berufen, die noch nicht über die erforderliche Fachkunde im Sinne von Absatz 1 verfügen und noch nicht mit den Verhältnissen der Betriebe vertraut sind, wenn der Unternehmer sich verpflichtet, die Anforderungen nach Absatz 1 innerhalb einer festzulegenden Frist zu erfüllen.</w:t>
      </w:r>
    </w:p>
    <w:p>
      <w:r>
        <w:rPr>
          <w:color w:val="555555"/>
          <w:sz w:val="17"/>
        </w:rPr>
        <w:t xml:space="preserve">Zitiervorschlag: § 10 VO-ID211614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https://recht.nulegal.eu/gesetze/VO-ID211614/10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