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VO-ID211614 (Brandenburg) — Geltungsbereich</w:t>
      </w:r>
    </w:p>
    <w:p>
      <w:r>
        <w:rPr>
          <w:color w:val="555555"/>
          <w:sz w:val="18"/>
        </w:rPr>
        <w:t xml:space="preserve">Bergverordnung über den arbeitssicherheitlichen und den betriebsärztlichen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gilt für Betriebe, die dem Geltungsbereich des Bundesberggesetzes unterliegen. Ausgenommen sind Bohrungen nach § 127 Bundesberggesetz.</w:t>
      </w:r>
    </w:p>
    <w:p>
      <w:r>
        <w:rPr>
          <w:color w:val="555555"/>
          <w:sz w:val="17"/>
        </w:rPr>
        <w:t xml:space="preserve">Zitiervorschlag: § 1 VO-ID211614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