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VO-ID211583 (Brandenburg)</w:t>
      </w:r>
    </w:p>
    <w:p>
      <w:r>
        <w:rPr>
          <w:color w:val="555555"/>
          <w:sz w:val="18"/>
        </w:rPr>
        <w:t xml:space="preserve">Vierte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Karten und Pläne, die Bestandteil der Anträge</w:t>
      </w:r>
    </w:p>
    <w:p>
      <w:r>
        <w:t xml:space="preserve">auf Aufhebung oder teilweise Aufhebung der unter den §§ 1 bis 7</w:t>
      </w:r>
    </w:p>
    <w:p>
      <w:r>
        <w:t xml:space="preserve">genannten Baubeschränkungsgebiete sind, werden gemäß § 107</w:t>
      </w:r>
    </w:p>
    <w:p>
      <w:r>
        <w:t xml:space="preserve">Abs. 2 des Bundesberggesetzes zu jedermanns Einsicht archivmäßig</w:t>
      </w:r>
    </w:p>
    <w:p>
      <w:r>
        <w:t xml:space="preserve">gesichert beim Oberbergamt des Landes Brandenburg niedergelegt.</w:t>
      </w:r>
    </w:p>
    <w:p>
      <w:r>
        <w:rPr>
          <w:color w:val="555555"/>
          <w:sz w:val="17"/>
        </w:rPr>
        <w:t xml:space="preserve">Zitiervorschlag: § 8 VO-ID211583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https://recht.nulegal.eu/gesetze/VO-ID211583/8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