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VO-ID211583 (Brandenburg)</w:t>
      </w:r>
    </w:p>
    <w:p>
      <w:r>
        <w:rPr>
          <w:color w:val="555555"/>
          <w:sz w:val="18"/>
        </w:rPr>
        <w:t xml:space="preserve">Vierte Verordnung zur Aufhebung von Baubeschränkungsgebieten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Für das in der Anlage 3 zu dieser Verordnung näher</w:t>
      </w:r>
    </w:p>
    <w:p>
      <w:r>
        <w:t xml:space="preserve">bezeichnete Gebiet Seese-Ost/Calau-Nord wird die Baubeschränkung</w:t>
      </w:r>
    </w:p>
    <w:p>
      <w:r>
        <w:t xml:space="preserve">aufgehoben.</w:t>
      </w:r>
    </w:p>
    <w:p>
      <w:r>
        <w:rPr>
          <w:color w:val="555555"/>
          <w:sz w:val="17"/>
        </w:rPr>
        <w:t xml:space="preserve">Zitiervorschlag: § 3 VO-ID211583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https://recht.nulegal.eu/gesetze/VO-ID211583/3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