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VO-ID211583 (Brandenburg)</w:t>
      </w:r>
    </w:p>
    <w:p>
      <w:r>
        <w:rPr>
          <w:color w:val="555555"/>
          <w:sz w:val="18"/>
        </w:rPr>
        <w:t xml:space="preserve">Vierte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das in der Anlage 2 zu dieser Verordnung näher</w:t>
      </w:r>
    </w:p>
    <w:p>
      <w:r>
        <w:t xml:space="preserve">bezeichnete Gebiet Klettwitz-Nord wird die Baubeschränkung aufgehoben.</w:t>
      </w:r>
    </w:p>
    <w:p>
      <w:r>
        <w:rPr>
          <w:color w:val="555555"/>
          <w:sz w:val="17"/>
        </w:rPr>
        <w:t xml:space="preserve">Zitiervorschlag: § 2 VO-ID211583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https://recht.nulegal.eu/gesetze/VO-ID211583/2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