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VO-ID211577 (Brandenburg)</w:t>
      </w:r>
    </w:p>
    <w:p>
      <w:r>
        <w:rPr>
          <w:color w:val="555555"/>
          <w:sz w:val="18"/>
        </w:rPr>
        <w:t xml:space="preserve">Verordnung zur Übertragung der Zustimmungsbefugnis über die Annahme von Belohnungen und Geschenken im Geschäftsbereich des Ministeriums für Arbeit, Soziales, Gesundheit und Frauen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Zustimmungsbefugnis der obersten Dienstbehörde nach § 37 Satz 2 des Landesbeamtengesetzes wird im Geschäftsbereich des Ministeriums für Arbeit, Soziales, Gesundheit und Frauen auf die nachgeordnete Behörde übertragen, in der der/die Beamte/in tätig ist oder zuletzt tätig war.</w:t>
      </w:r>
    </w:p>
    <w:p>
      <w:r>
        <w:rPr>
          <w:color w:val="555555"/>
          <w:sz w:val="17"/>
        </w:rPr>
        <w:t xml:space="preserve">Zitiervorschlag: § 1 VO-ID211577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https://recht.nulegal.eu/gesetze/VO-ID211577/1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