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VO-ID211573 (Brandenburg) — Amtshandlungen außerhalb der Dienstzeit</w:t>
      </w:r>
    </w:p>
    <w:p>
      <w:r>
        <w:rPr>
          <w:color w:val="555555"/>
          <w:sz w:val="18"/>
        </w:rPr>
        <w:t xml:space="preserve">Verordnung über die Erhebung von Verwaltungsgebühren für Amtshandlungen auf dem Gebiet der Binnenschifffahrt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Erfordert die gebührenpflichtige Amtshandlung ein Tätigwerden der zuständigen Behörde außerhalb der Dienstzeit, wird die sonst übliche Gebühr in doppelter Höhe erhoben.</w:t>
      </w:r>
    </w:p>
    <w:p>
      <w:r>
        <w:rPr>
          <w:color w:val="555555"/>
          <w:sz w:val="17"/>
        </w:rPr>
        <w:t xml:space="preserve">Zitiervorschlag: § 3 VO-ID211573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https://recht.nulegal.eu/gesetze/VO-ID211573/3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