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VO-ID211573 (Brandenburg) — Gebühren</w:t>
      </w:r>
    </w:p>
    <w:p>
      <w:r>
        <w:rPr>
          <w:color w:val="555555"/>
          <w:sz w:val="18"/>
        </w:rPr>
        <w:t xml:space="preserve">Verordnung über die Erhebung von Verwaltungsgebühren für Amtshandlungen auf dem Gebiet der Binnenschifffahrt</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Amtshandlungen auf dem Gebiet der Binnenschifffahrt des Landes Brandenburg erheben die jeweils zuständigen Behörden Verwaltungsgebühren nach Maßgabe dieser Verordnung und dem als Anlage beigefügten Gebührentarif, der Bestandteil dieser Verordnung ist.</w:t>
      </w:r>
    </w:p>
    <w:p>
      <w:r>
        <w:t xml:space="preserve">(2) Gebührenpflichtig sind die im Gebührentarif aufgeführten Amtshandlungen nach dem Brandenburgischen Wassergesetz in der Fassung der Bekanntmachung vom 2. März 2012 (GVBl. I Nr. 20) und der Landesschifffahrtsverordnung vom 25. April 2005 (GVBl. II S. 166) in der jeweils geltenden Fassung.</w:t>
      </w:r>
    </w:p>
    <w:p>
      <w:r>
        <w:rPr>
          <w:color w:val="555555"/>
          <w:sz w:val="17"/>
        </w:rPr>
        <w:t xml:space="preserve">Zitiervorschlag: § 1 VO-ID211573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https://recht.nulegal.eu/gesetze/VO-ID211573/1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