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VO-ID211560 (Brandenburg)</w:t>
      </w:r>
    </w:p>
    <w:p>
      <w:r>
        <w:rPr>
          <w:color w:val="555555"/>
          <w:sz w:val="18"/>
        </w:rPr>
        <w:t xml:space="preserve">Verordnung über die Festsetzungsbehörden nach dem Schutzbereichsgesetz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Örtlich zuständig ist die Festsetzungsbehörde, in deren Bereich das zum Schutzbereich erklärte Grundstück liegt.</w:t>
      </w:r>
    </w:p>
    <w:p>
      <w:r>
        <w:rPr>
          <w:color w:val="555555"/>
          <w:sz w:val="17"/>
        </w:rPr>
        <w:t xml:space="preserve">Zitiervorschlag: § 2 VO-ID211560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https://recht.nulegal.eu/gesetze/VO-ID211560/2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