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VO-ID211546 (Brandenburg)</w:t>
      </w:r>
    </w:p>
    <w:p>
      <w:r>
        <w:rPr>
          <w:color w:val="555555"/>
          <w:sz w:val="18"/>
        </w:rPr>
        <w:t xml:space="preserve">Verordnung über die Zuständigkeit nach § 10 g Abs. 3 des Einkommensteuergesetzes, § 4 Nr. 20 des Umsatzsteuergesetzes und § 110 Abs. 1 Nr. 12 des Bewertungsgesetzes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Verkündigung in</w:t>
      </w:r>
    </w:p>
    <w:p>
      <w:r>
        <w:t xml:space="preserve">Kraft.</w:t>
      </w:r>
    </w:p>
    <w:p>
      <w:r>
        <w:t xml:space="preserve">Potsdam, den 28. August 1995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Wissenschaft, Forschung und Kultur</w:t>
      </w:r>
    </w:p>
    <w:p>
      <w:r>
        <w:t xml:space="preserve">Steffen Reiche</w:t>
      </w:r>
    </w:p>
    <w:p>
      <w:r>
        <w:rPr>
          <w:color w:val="555555"/>
          <w:sz w:val="17"/>
        </w:rPr>
        <w:t xml:space="preserve">Zitiervorschlag: § 2 VO-ID211546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