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VO-ID211544 (Brandenburg) — Inkrafttreten, Außerkrafttreten</w:t>
      </w:r>
    </w:p>
    <w:p>
      <w:r>
        <w:rPr>
          <w:color w:val="555555"/>
          <w:sz w:val="18"/>
        </w:rPr>
        <w:t xml:space="preserve">Verordnung über die Beendigung der Tätigkeit der Zentralen Außenstelle aller Amtsgerichte (Grundbuchämter)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Verordnung tritt am Tage nach der Verkündung in</w:t>
      </w:r>
    </w:p>
    <w:p>
      <w:r>
        <w:t xml:space="preserve">Kraft.</w:t>
      </w:r>
    </w:p>
    <w:p>
      <w:r>
        <w:t xml:space="preserve">(2) Die Verordnung zur Organisation und zum</w:t>
      </w:r>
    </w:p>
    <w:p>
      <w:r>
        <w:t xml:space="preserve">Geschäftsablauf der Zentralen Außenstelle aller Kreisgerichte</w:t>
      </w:r>
    </w:p>
    <w:p>
      <w:r>
        <w:t xml:space="preserve">(Grundbuchämter) des Landes Brandenburg vom 21. Dezember 1992 (GVBl. II S.</w:t>
      </w:r>
    </w:p>
    <w:p>
      <w:r>
        <w:t xml:space="preserve">789) tritt am 1. Januar 1996 außer Kraft.</w:t>
      </w:r>
    </w:p>
    <w:p>
      <w:r>
        <w:t xml:space="preserve">Potsdam, den 3. August 1995</w:t>
      </w:r>
    </w:p>
    <w:p>
      <w:r>
        <w:t xml:space="preserve">Der Minister der Justiz</w:t>
      </w:r>
    </w:p>
    <w:p>
      <w:r>
        <w:t xml:space="preserve">und für Bundes- und Europaangelegenheiten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3 VO-ID211544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https://recht.nulegal.eu/gesetze/VO-ID211544/3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