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VO-ID211544 (Brandenburg) — Übergangsregelung</w:t>
      </w:r>
    </w:p>
    <w:p>
      <w:r>
        <w:rPr>
          <w:color w:val="555555"/>
          <w:sz w:val="18"/>
        </w:rPr>
        <w:t xml:space="preserve">Verordnung über die Beendigung der Tätigkeit der Zentralen Außenstelle aller Amtsgerichte (Grundbuchämter)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zum Zeitpunkt der Beendigung der Tätigkeit der</w:t>
      </w:r>
    </w:p>
    <w:p>
      <w:r>
        <w:t xml:space="preserve">Zentralen Außenstelle bei ihr vorhandenen Grundbuchvorgänge sind in</w:t>
      </w:r>
    </w:p>
    <w:p>
      <w:r>
        <w:t xml:space="preserve">dem Verfahrensstand, in dem sie sich befinden, dem zuständigen Amtsgericht</w:t>
      </w:r>
    </w:p>
    <w:p>
      <w:r>
        <w:t xml:space="preserve">zu übersenden.</w:t>
      </w:r>
    </w:p>
    <w:p>
      <w:r>
        <w:rPr>
          <w:color w:val="555555"/>
          <w:sz w:val="17"/>
        </w:rPr>
        <w:t xml:space="preserve">Zitiervorschlag: § 2 VO-ID211544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https://recht.nulegal.eu/gesetze/VO-ID211544/2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