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VO-ID211539 (Brandenburg) — Befragungsausschuß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Befragungsausschuß besteht aus dem Vorsitzenden, seinem</w:t>
      </w:r>
    </w:p>
    <w:p>
      <w:r>
        <w:t xml:space="preserve">Stellvertreter, dem Schriftführer und zwei weiteren Beisitzern. Die</w:t>
      </w:r>
    </w:p>
    <w:p>
      <w:r>
        <w:t xml:space="preserve">Mitglieder werden von der Befragungsbehörde aus dem Kreis der in dem Amt</w:t>
      </w:r>
    </w:p>
    <w:p>
      <w:r>
        <w:t xml:space="preserve">wahlberechtigten Bürger berufen. Der Vorsitzende oder sein Stellvertreter</w:t>
      </w:r>
    </w:p>
    <w:p>
      <w:r>
        <w:t xml:space="preserve">sowie zwei weitere Mitglieder sollen aus dem Kreis der zur Teilnahme an der</w:t>
      </w:r>
    </w:p>
    <w:p>
      <w:r>
        <w:t xml:space="preserve">Befragung berechtigten Personen berufen werden.</w:t>
      </w:r>
    </w:p>
    <w:p>
      <w:r>
        <w:t xml:space="preserve">(2) Der Befragungsausschuß faßt seine Beschlüsse mit</w:t>
      </w:r>
    </w:p>
    <w:p>
      <w:r>
        <w:t xml:space="preserve">Stimmenmehrheit in öffentlicher Sitzung. Bei Stimmengleichheit gibt die</w:t>
      </w:r>
    </w:p>
    <w:p>
      <w:r>
        <w:t xml:space="preserve">Stimme des Vorsitzenden den Ausschlag.</w:t>
      </w:r>
    </w:p>
    <w:p>
      <w:r>
        <w:t xml:space="preserve">(3) Der Befragungsausschuß ist beschlußfähig, wenn</w:t>
      </w:r>
    </w:p>
    <w:p>
      <w:r>
        <w:t xml:space="preserve">außer dem Vorsitzenden mindestens zwei weitere Mitglieder anwesend sind.</w:t>
      </w:r>
    </w:p>
    <w:p>
      <w:r>
        <w:rPr>
          <w:color w:val="555555"/>
          <w:sz w:val="17"/>
        </w:rPr>
        <w:t xml:space="preserve">Zitiervorschlag: § 8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