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VO-ID211539 (Brandenburg) — Anwendungsbereich</w:t>
      </w:r>
    </w:p>
    <w:p>
      <w:r>
        <w:rPr>
          <w:color w:val="555555"/>
          <w:sz w:val="18"/>
        </w:rPr>
        <w:t xml:space="preserve">Verordnung zur Regelung des Verfahrens der Bürgeranhörung zur zukünftigen Landeszugehörigkeit eines Gebietsteiles der Gemeinde Schwarze Pumpe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Im Rahmen der Bestimmung der zukünftigen Landeszugehörigkeit des</w:t>
      </w:r>
    </w:p>
    <w:p>
      <w:r>
        <w:t xml:space="preserve">südlichen Teils des Flurstückes 245/3 (Grenze zum nördlichen</w:t>
      </w:r>
    </w:p>
    <w:p>
      <w:r>
        <w:t xml:space="preserve">Teil wie in Satz 2 beschrieben) sowie der Flurstücke 245/4, 245/5, 249/3,</w:t>
      </w:r>
    </w:p>
    <w:p>
      <w:r>
        <w:t xml:space="preserve">249/4, 249/5 und 250/1 der Flur 4 der Gemarkung Terpe, Gemeinde Schwarze Pumpe,</w:t>
      </w:r>
    </w:p>
    <w:p>
      <w:r>
        <w:t xml:space="preserve">Landkreis Spree-Neiße, erfolgt die nach Artikel 98 Abs. 2 Satz 3 der</w:t>
      </w:r>
    </w:p>
    <w:p>
      <w:r>
        <w:t xml:space="preserve">Verfassung des Landes Brandenburg und § 9 Abs. 9 Satz 1 der</w:t>
      </w:r>
    </w:p>
    <w:p>
      <w:r>
        <w:t xml:space="preserve">Gemeindeordnung vorgeschriebene Bürgeranhörung in der Form einer</w:t>
      </w:r>
    </w:p>
    <w:p>
      <w:r>
        <w:t xml:space="preserve">Bürgerbefragung, die nach Maßgabe dieser Verordnung</w:t>
      </w:r>
    </w:p>
    <w:p>
      <w:r>
        <w:t xml:space="preserve">durchzuführen ist. Die Grenze zwischen dem nördlichen und dem</w:t>
      </w:r>
    </w:p>
    <w:p>
      <w:r>
        <w:t xml:space="preserve">südlichen Teil des Flurstückes 245/3 verläuft vom Grenzpunkt</w:t>
      </w:r>
    </w:p>
    <w:p>
      <w:r>
        <w:t xml:space="preserve">zwischen den Flurstücken 249/1, 249/3 und 245/3 in gestreckter,</w:t>
      </w:r>
    </w:p>
    <w:p>
      <w:r>
        <w:t xml:space="preserve">möglichst geradliniger Form bis zu dem Grenzpunkt zwischen den</w:t>
      </w:r>
    </w:p>
    <w:p>
      <w:r>
        <w:t xml:space="preserve">Flurstücken 245/3 und 245/1, der im Bereich der Einmündung der</w:t>
      </w:r>
    </w:p>
    <w:p>
      <w:r>
        <w:t xml:space="preserve">Straße des Aufbaus in die Werkstraße liegt.</w:t>
      </w:r>
    </w:p>
    <w:p>
      <w:r>
        <w:rPr>
          <w:color w:val="555555"/>
          <w:sz w:val="17"/>
        </w:rPr>
        <w:t xml:space="preserve">Zitiervorschlag: § 1 VO-ID211539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https://recht.nulegal.eu/gesetze/VO-ID211539/1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