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VO-ID211532 (Brandenburg)</w:t>
      </w:r>
    </w:p>
    <w:p>
      <w:r>
        <w:rPr>
          <w:color w:val="555555"/>
          <w:sz w:val="18"/>
        </w:rPr>
        <w:t xml:space="preserve">Verordnung über die Anpassung von Unterhaltsrenten für Minderjährige im Land Brandenburg (Anpassungsverordnung 1994)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Unterhaltsrenten für Minderjährige können nach Maßgabe</w:t>
      </w:r>
    </w:p>
    <w:p>
      <w:r>
        <w:t xml:space="preserve">des § 1612 a des Bürgerlichen Gesetzbuchs für Zeiträume</w:t>
      </w:r>
    </w:p>
    <w:p>
      <w:r>
        <w:t xml:space="preserve">nach dem 31. Dezember 1994 um 20 vom Hundert erhöht werden.</w:t>
      </w:r>
    </w:p>
    <w:p>
      <w:r>
        <w:rPr>
          <w:color w:val="555555"/>
          <w:sz w:val="17"/>
        </w:rPr>
        <w:t xml:space="preserve">Zitiervorschlag: § 1 VO-ID211532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