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VO-ID211527 (Brandenburg)</w:t>
      </w:r>
    </w:p>
    <w:p>
      <w:r>
        <w:rPr>
          <w:color w:val="555555"/>
          <w:sz w:val="18"/>
        </w:rPr>
        <w:t xml:space="preserve">Dritte Verordnung zur Aufhebung von Baubeschränkungsgebieten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Für das in der Anlage 1 zu dieser Verordnung näher</w:t>
      </w:r>
    </w:p>
    <w:p>
      <w:r>
        <w:t xml:space="preserve">bezeichnete Gebiet mit dem Ort Klingmühl (Gemeinde Sallgast) und Ortsteil</w:t>
      </w:r>
    </w:p>
    <w:p>
      <w:r>
        <w:t xml:space="preserve">Klinkerwerk (Gemeinde Lichterfeld) wird die Baubeschränkung aufgehoben.</w:t>
      </w:r>
    </w:p>
    <w:p>
      <w:r>
        <w:rPr>
          <w:color w:val="555555"/>
          <w:sz w:val="17"/>
        </w:rPr>
        <w:t xml:space="preserve">Zitiervorschlag: § 1 VO-ID211527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https://recht.nulegal.eu/gesetze/VO-ID211527/1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