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VO-ID211519 (Brandenburg)</w:t>
      </w:r>
    </w:p>
    <w:p>
      <w:r>
        <w:rPr>
          <w:color w:val="555555"/>
          <w:sz w:val="18"/>
        </w:rPr>
        <w:t xml:space="preserve">Verordnung über die Übernahme der Fachschule für Baugestaltung in Potsdam in die Trägerschaft des Landes Brandenburg und ihre Umwandlung in einen Bereich für Restaurierung in der Denkmalpflege an der Fachhochschule Potsdam</w:t>
      </w:r>
    </w:p>
    <w:p>
      <w:r>
        <w:rPr>
          <w:color w:val="555555"/>
          <w:sz w:val="18"/>
        </w:rPr>
        <w:t xml:space="preserve">Landesrecht Brandenburg</w:t>
      </w:r>
    </w:p>
    <w:p>
      <w:r>
        <w:rPr>
          <w:color w:val="555555"/>
          <w:sz w:val="18"/>
        </w:rPr>
        <w:t xml:space="preserve">Stand: 01.08.2026 (konsolidierte Textfassung, kein amtliches Inkrafttretensdatum)</w:t>
      </w:r>
    </w:p>
    <w:p>
      <w:r>
        <w:t xml:space="preserve">Ziel der Ausbildung ist die Vermittlung von technischen</w:t>
      </w:r>
    </w:p>
    <w:p>
      <w:r>
        <w:t xml:space="preserve">und handwerklichen sowie künstlerisch-gestaltenden Fähigkeiten auf dem Gebiet</w:t>
      </w:r>
    </w:p>
    <w:p>
      <w:r>
        <w:t xml:space="preserve">der Restaurierung in der Denkmalpflege.</w:t>
      </w:r>
    </w:p>
    <w:p>
      <w:r>
        <w:rPr>
          <w:color w:val="555555"/>
          <w:sz w:val="17"/>
        </w:rPr>
        <w:t xml:space="preserve">Zitiervorschlag: § 2 VO-ID211519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https://recht.nulegal.eu/gesetze/VO-ID211519/2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