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VO-ID211519 (Brandenburg)</w:t>
      </w:r>
    </w:p>
    <w:p>
      <w:r>
        <w:rPr>
          <w:color w:val="555555"/>
          <w:sz w:val="18"/>
        </w:rPr>
        <w:t xml:space="preserve">Verordnung über die Übernahme der Fachschule für Baugestaltung in Potsdam in die Trägerschaft des Landes Brandenburg und ihre Umwandlung in einen Bereich für Restaurierung in der Denkmalpflege an der Fachhochschule Potsdam</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bisherige Fachschule für Baugestaltung wird in die</w:t>
      </w:r>
    </w:p>
    <w:p>
      <w:r>
        <w:t xml:space="preserve">Trägerschaft des Landes Brandenburg übernommen und in einen Bereich für</w:t>
      </w:r>
    </w:p>
    <w:p>
      <w:r>
        <w:t xml:space="preserve">Restaurierung in der Denkmalpflege an der Fachhochschule Potsdam umgewandelt.</w:t>
      </w:r>
    </w:p>
    <w:p>
      <w:r>
        <w:t xml:space="preserve">Die Angliederung des dreijährigen Bildungsganges der Fachschule an die</w:t>
      </w:r>
    </w:p>
    <w:p>
      <w:r>
        <w:t xml:space="preserve">Fachhochschule Potsdam trägt der Besonderheit der Ausbildungsinhalte und</w:t>
      </w:r>
    </w:p>
    <w:p>
      <w:r>
        <w:t xml:space="preserve">-formen entsprechend der gewandelten Aufgabenstellung Rechnung.</w:t>
      </w:r>
    </w:p>
    <w:p>
      <w:r>
        <w:rPr>
          <w:color w:val="555555"/>
          <w:sz w:val="17"/>
        </w:rPr>
        <w:t xml:space="preserve">Zitiervorschlag: § 1 VO-ID211519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https://recht.nulegal.eu/gesetze/VO-ID211519/1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