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VO-ID211513 (Brandenburg)</w:t>
      </w:r>
    </w:p>
    <w:p>
      <w:r>
        <w:rPr>
          <w:color w:val="555555"/>
          <w:sz w:val="18"/>
        </w:rPr>
        <w:t xml:space="preserve">Verordnung über die Zuständigkeit nach der Verordnung (EWG) Nr. 3911/92 des Rates vom 9. Dezember 1992 über die Ausfuhr von Kulturgütern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 Behörde zur Erteilung einer</w:t>
      </w:r>
    </w:p>
    <w:p>
      <w:r>
        <w:t xml:space="preserve">Ausfuhrgenehmigung für Kulturgüter, die sich ständig im Land Brandenburg</w:t>
      </w:r>
    </w:p>
    <w:p>
      <w:r>
        <w:t xml:space="preserve">befinden, gemäß Artikel 2 Abs. 2 der Verordnung (EWG) Nr. 3911/92 des Rates</w:t>
      </w:r>
    </w:p>
    <w:p>
      <w:r>
        <w:t xml:space="preserve">vom 9. Dezember 1992 über die Ausfuhr von Kulturgütern (ABl. EG Nr. L 395 S.</w:t>
      </w:r>
    </w:p>
    <w:p>
      <w:r>
        <w:t xml:space="preserve">1) ist das für Kultur zuständige Ministerium, soweit nicht die Zuständigkeit</w:t>
      </w:r>
    </w:p>
    <w:p>
      <w:r>
        <w:t xml:space="preserve">des Bundesministers des Innern gemäß dem Gesetz zum Schutz deutschen</w:t>
      </w:r>
    </w:p>
    <w:p>
      <w:r>
        <w:t xml:space="preserve">Kulturgutes gegen Abwanderung vom 6. August 1955 (BGBl. I S. 501) zuletzt</w:t>
      </w:r>
    </w:p>
    <w:p>
      <w:r>
        <w:t xml:space="preserve">geändert durch Anlage I Kapitel II Sachgebiet B Abschnitt II Ziffer 4 des</w:t>
      </w:r>
    </w:p>
    <w:p>
      <w:r>
        <w:t xml:space="preserve">Einigungsvertrages vom 31. August 1990 in Verbindung mit Artikel 1 des Gesetzes</w:t>
      </w:r>
    </w:p>
    <w:p>
      <w:r>
        <w:t xml:space="preserve">vom 23. September 1990 (BGBl. 1990 II S. 885, 914) gegeben ist.</w:t>
      </w:r>
    </w:p>
    <w:p>
      <w:r>
        <w:rPr>
          <w:color w:val="555555"/>
          <w:sz w:val="17"/>
        </w:rPr>
        <w:t xml:space="preserve">Zitiervorschlag: § 1 VO-ID211513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https://recht.nulegal.eu/gesetze/VO-ID211513/1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