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VO-ID211502 (Brandenburg)</w:t>
      </w:r>
    </w:p>
    <w:p>
      <w:r>
        <w:rPr>
          <w:color w:val="555555"/>
          <w:sz w:val="18"/>
        </w:rPr>
        <w:t xml:space="preserve">Verordnung zur Ausführung des Transsexuellengesetzes (TSG V)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Als Vertreter des öffentlichen Interesses in Verfahren nach dem Transsexuellengesetz wird der Minister des Innern bestimmt.</w:t>
      </w:r>
    </w:p>
    <w:p>
      <w:r>
        <w:rPr>
          <w:color w:val="555555"/>
          <w:sz w:val="17"/>
        </w:rPr>
        <w:t xml:space="preserve">Zitiervorschlag: § 1 VO-ID211502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https://recht.nulegal.eu/gesetze/VO-ID211502/1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