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VO-ID211477 (Brandenburg)</w:t>
      </w:r>
    </w:p>
    <w:p>
      <w:r>
        <w:rPr>
          <w:color w:val="555555"/>
          <w:sz w:val="18"/>
        </w:rPr>
        <w:t xml:space="preserve">Zweite Verordnung über den Zeitpunkt der Ernennung von Beamten in den kreisangehörigen Gemeinden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§ 1 findet keine Anwendung auf folgende kreisangehörige</w:t>
      </w:r>
    </w:p>
    <w:p>
      <w:r>
        <w:t xml:space="preserve">Gemeinden:</w:t>
      </w:r>
    </w:p>
    <w:p>
      <w:r>
        <w:t xml:space="preserve">Angermünde; Bad Freienwalde; Bad Liebenwerda; Bernau; Eberswalde-Finow;</w:t>
      </w:r>
    </w:p>
    <w:p>
      <w:r>
        <w:t xml:space="preserve">Erkner; Falkensee; Finsterwalde; Forst/Lausitz; Fürstenwalde; Guben;</w:t>
      </w:r>
    </w:p>
    <w:p>
      <w:r>
        <w:t xml:space="preserve">Hennigsdorf (bei Berlin, Kreis Oranienburg); Hohen Neuendorf (bei Berlin, Kreis</w:t>
      </w:r>
    </w:p>
    <w:p>
      <w:r>
        <w:t xml:space="preserve">Oranienburg); Königs-Wusterhausen; Lauchhammer (Kreis Senftenberg);</w:t>
      </w:r>
    </w:p>
    <w:p>
      <w:r>
        <w:t xml:space="preserve">Luckenwalde; Ludwigsfelde (Kreis Zossen); Nauen; Neuenhagen (bei Berlin, Kreis</w:t>
      </w:r>
    </w:p>
    <w:p>
      <w:r>
        <w:t xml:space="preserve">Strausberg); Neuruppin; Oranienburg; Perleberg; Rathenow; Schöneiche (bei</w:t>
      </w:r>
    </w:p>
    <w:p>
      <w:r>
        <w:t xml:space="preserve">Berlin, Kreis Fürstenwalde); Senftenberg; Spremberg; Strausberg; Teltow;</w:t>
      </w:r>
    </w:p>
    <w:p>
      <w:r>
        <w:t xml:space="preserve">Templin; Wittenberge (Kreis Perleberg); Wittstock.</w:t>
      </w:r>
    </w:p>
    <w:p>
      <w:r>
        <w:rPr>
          <w:color w:val="555555"/>
          <w:sz w:val="17"/>
        </w:rPr>
        <w:t xml:space="preserve">Zitiervorschlag: § 2 VO-ID211477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https://recht.nulegal.eu/gesetze/VO-ID211477/2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