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VO-ID211477 (Brandenburg)</w:t>
      </w:r>
    </w:p>
    <w:p>
      <w:r>
        <w:rPr>
          <w:color w:val="555555"/>
          <w:sz w:val="18"/>
        </w:rPr>
        <w:t xml:space="preserve">Zweite Verordnung über den Zeitpunkt der Ernennung von Beamten in den kreisangehörigen Gemeinden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1 bis 3 des Gesetzes zur vorläufigen Regelung des</w:t>
      </w:r>
    </w:p>
    <w:p>
      <w:r>
        <w:t xml:space="preserve">Beamtenrechts im Land Brandenburg vom 8. August 1991 treten für</w:t>
      </w:r>
    </w:p>
    <w:p>
      <w:r>
        <w:t xml:space="preserve">kreisangehörige Gemeinden am 1. Januar 1993 in Kraft.</w:t>
      </w:r>
    </w:p>
    <w:p>
      <w:r>
        <w:rPr>
          <w:color w:val="555555"/>
          <w:sz w:val="17"/>
        </w:rPr>
        <w:t xml:space="preserve">Zitiervorschlag: § 1 VO-ID211477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