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VO-ID211473 (Brandenburg)</w:t>
      </w:r>
    </w:p>
    <w:p>
      <w:r>
        <w:rPr>
          <w:color w:val="555555"/>
          <w:sz w:val="18"/>
        </w:rPr>
        <w:t xml:space="preserve">Verordnung zur Übertragung der Ermächtigung zur Anpassung von Unterhaltsrenten für Minderjährige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Minister der Justiz wird ermächtigt, nach § 1612 a Abs.</w:t>
      </w:r>
    </w:p>
    <w:p>
      <w:r>
        <w:t xml:space="preserve">2 Satz 1 des Bürgerlichen Gesetzbuches durch Rechtsverordnung den</w:t>
      </w:r>
    </w:p>
    <w:p>
      <w:r>
        <w:t xml:space="preserve">Vomhundertsatz zu bestimmen, um den Unterhaltsrenten für Minderjährige</w:t>
      </w:r>
    </w:p>
    <w:p>
      <w:r>
        <w:t xml:space="preserve">im Land Brandenburg zu erhöhen oder herabzusetzen sind.</w:t>
      </w:r>
    </w:p>
    <w:p>
      <w:r>
        <w:rPr>
          <w:color w:val="555555"/>
          <w:sz w:val="17"/>
        </w:rPr>
        <w:t xml:space="preserve">Zitiervorschlag: § 1 VO-ID211473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https://recht.nulegal.eu/gesetze/VO-ID211473/1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