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VO-ID211471 (Brandenburg)</w:t>
      </w:r>
    </w:p>
    <w:p>
      <w:r>
        <w:rPr>
          <w:color w:val="555555"/>
          <w:sz w:val="18"/>
        </w:rPr>
        <w:t xml:space="preserve">Verordnung über die Auflösung der Mahn- und Gedenkstätte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 nach der Verkündung in</w:t>
      </w:r>
    </w:p>
    <w:p>
      <w:r>
        <w:t xml:space="preserve">Kraft.</w:t>
      </w:r>
    </w:p>
    <w:p>
      <w:r>
        <w:t xml:space="preserve">Potsdam, den 24. März 1992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Der Minister für Wissenschaft, Forschung</w:t>
      </w:r>
    </w:p>
    <w:p>
      <w:r>
        <w:t xml:space="preserve">und Kultur</w:t>
      </w:r>
    </w:p>
    <w:p>
      <w:r>
        <w:rPr>
          <w:color w:val="555555"/>
          <w:sz w:val="17"/>
        </w:rPr>
        <w:t xml:space="preserve">Zitiervorschlag: § 3 VO-ID211471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https://recht.nulegal.eu/gesetze/VO-ID211471/3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