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VO-ID211471 (Brandenburg)</w:t>
      </w:r>
    </w:p>
    <w:p>
      <w:r>
        <w:rPr>
          <w:color w:val="555555"/>
          <w:sz w:val="18"/>
        </w:rPr>
        <w:t xml:space="preserve">Verordnung über die Auflösung der Mahn- und Gedenkstätte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Auflösung obliegt dem Ministerium für</w:t>
      </w:r>
    </w:p>
    <w:p>
      <w:r>
        <w:t xml:space="preserve">Wissenschaft, Forschung und Kultur.</w:t>
      </w:r>
    </w:p>
    <w:p>
      <w:r>
        <w:rPr>
          <w:color w:val="555555"/>
          <w:sz w:val="17"/>
        </w:rPr>
        <w:t xml:space="preserve">Zitiervorschlag: § 2 VO-ID211471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