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VO-ID211471 (Brandenburg)</w:t>
      </w:r>
    </w:p>
    <w:p>
      <w:r>
        <w:rPr>
          <w:color w:val="555555"/>
          <w:sz w:val="18"/>
        </w:rPr>
        <w:t xml:space="preserve">Verordnung über die Auflösung der Mahn- und Gedenkstätte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Mahn- und Gedenkstätte Brandenburg wird mit Ablauf des</w:t>
      </w:r>
    </w:p>
    <w:p>
      <w:r>
        <w:t xml:space="preserve">30. Juni 1992 aufgelöst.</w:t>
      </w:r>
    </w:p>
    <w:p>
      <w:r>
        <w:rPr>
          <w:color w:val="555555"/>
          <w:sz w:val="17"/>
        </w:rPr>
        <w:t xml:space="preserve">Zitiervorschlag: § 1 VO-ID211471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https://recht.nulegal.eu/gesetze/VO-ID211471/1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