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VO-ID211469 (Brandenburg)</w:t>
      </w:r>
    </w:p>
    <w:p>
      <w:r>
        <w:rPr>
          <w:color w:val="555555"/>
          <w:sz w:val="18"/>
        </w:rPr>
        <w:t xml:space="preserve">Verordnung über die Zuständigkeit für die Überprüfung von Heilpraktikeranwärtern und Heilpraktikeranwärterinnen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Zuständiges Gesundheitsamt für die Durchführung</w:t>
      </w:r>
    </w:p>
    <w:p>
      <w:r>
        <w:t xml:space="preserve">des § 2 Abs. 1 Buchstabe i und des § 3 Abs. 1 und 2 der Ersten</w:t>
      </w:r>
    </w:p>
    <w:p>
      <w:r>
        <w:t xml:space="preserve">Durchführungsverordnung zum Heilpraktikergesetz ist das Gesundheitsamt der</w:t>
      </w:r>
    </w:p>
    <w:p>
      <w:r>
        <w:t xml:space="preserve">Stadt Potsdam.</w:t>
      </w:r>
    </w:p>
    <w:p>
      <w:r>
        <w:rPr>
          <w:color w:val="555555"/>
          <w:sz w:val="17"/>
        </w:rPr>
        <w:t xml:space="preserve">Zitiervorschlag: § 2 VO-ID211469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