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VO-ID211469 (Brandenburg)</w:t>
      </w:r>
    </w:p>
    <w:p>
      <w:r>
        <w:rPr>
          <w:color w:val="555555"/>
          <w:sz w:val="18"/>
        </w:rPr>
        <w:t xml:space="preserve">Verordnung über die Zuständigkeit für die Überprüfung von Heilpraktikeranwärtern und Heilpraktikeranwärterinnen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Behörden für die Durchführung</w:t>
      </w:r>
    </w:p>
    <w:p>
      <w:r>
        <w:t xml:space="preserve">des § 7 der Ersten Durchführungsverordnung zum Heilpraktikergesetz</w:t>
      </w:r>
    </w:p>
    <w:p>
      <w:r>
        <w:t xml:space="preserve">sind die Landräte und die Oberbürgermeister, in deren Bezirk der</w:t>
      </w:r>
    </w:p>
    <w:p>
      <w:r>
        <w:t xml:space="preserve">Heilpraktikerberuf ausgeübt wird.</w:t>
      </w:r>
    </w:p>
    <w:p>
      <w:r>
        <w:rPr>
          <w:color w:val="555555"/>
          <w:sz w:val="17"/>
        </w:rPr>
        <w:t xml:space="preserve">Zitiervorschlag: § 1 VO-ID211469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