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VO-ID211468 (Brandenburg)</w:t>
      </w:r>
    </w:p>
    <w:p>
      <w:r>
        <w:rPr>
          <w:color w:val="555555"/>
          <w:sz w:val="18"/>
        </w:rPr>
        <w:t xml:space="preserve">Ausführungsverordnung zur Verordnung über die Zuständigkeit und das Verfahren bei der Unabkömmlichstellung (AV UkVO)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Zum Ausgleich der Meinungsverschiedenheiten bei der Unabkömmlichstellung sind nach § 5 Abs. 2 der Verordnung über die Zuständigkeit und das Verfahren bei der Unabkömmlichstellung Beisitzer zu benennen:</w:t>
      </w:r>
    </w:p>
    <w:p>
      <w:r>
        <w:t xml:space="preserve">für den Ausschuß bei den Kreiswehrersatzämtern, für deren Gebiete die Ausschüsse zuständig sind, durch die Oberbürgermeister der kreisfreien Städte und die Landräte der Landkreise und</w:t>
      </w:r>
    </w:p>
    <w:p>
      <w:r>
        <w:t xml:space="preserve">für den Ausschuß bei der Wehrbereichsverwaltung VII in Strausberg durch den Minister des Innern.</w:t>
      </w:r>
    </w:p>
    <w:p>
      <w:r>
        <w:rPr>
          <w:color w:val="555555"/>
          <w:sz w:val="17"/>
        </w:rPr>
        <w:t xml:space="preserve">Zitiervorschlag: § 5 VO-ID211468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https://recht.nulegal.eu/gesetze/VO-ID211468/5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