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VO-ID211468 (Brandenburg)</w:t>
      </w:r>
    </w:p>
    <w:p>
      <w:r>
        <w:rPr>
          <w:color w:val="555555"/>
          <w:sz w:val="18"/>
        </w:rPr>
        <w:t xml:space="preserve">Ausführungsverordnung zur Verordnung über die Zuständigkeit und das Verfahren bei der Unabkömmlichstellung (AV UkVO)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Vorschlagsberechtigt nach § 1 Abs. 1 Nr. 11 der Verordnung über die Zuständigkeit und das Verfahren bei der Unabkömmlichstellung sind</w:t>
      </w:r>
    </w:p>
    <w:p>
      <w:r>
        <w:t xml:space="preserve">bei Rechtsanwälten, die bei einem Bezirksgericht zugelassen sind und bei Notaren</w:t>
      </w:r>
    </w:p>
    <w:p>
      <w:r>
        <w:t xml:space="preserve">die Präsidenten der Bezirksgerichte;</w:t>
      </w:r>
    </w:p>
    <w:p>
      <w:r>
        <w:t xml:space="preserve">bei Rechtsanwälten, die beim Landesarbeitsgericht zugelassen sind der Präsident des Landesarbeitsgerichtes;</w:t>
      </w:r>
    </w:p>
    <w:p>
      <w:r>
        <w:t xml:space="preserve">bei Lehrkräften an Ersatzschulen die oberste Schulaufsichtsbehörde;</w:t>
      </w:r>
    </w:p>
    <w:p>
      <w:r>
        <w:t xml:space="preserve">bei den im öffentlichen Auftrag tätigen Wehrpflichtigen der Technischen Überwachungsvereine e. V.</w:t>
      </w:r>
    </w:p>
    <w:p>
      <w:r>
        <w:t xml:space="preserve">die Dienstaufsichtsbehörde;</w:t>
      </w:r>
    </w:p>
    <w:p>
      <w:r>
        <w:t xml:space="preserve">bei den nicht unter § 1 fallenden Wehrpflichtigen in Betrieben und Unternehmen der öffentlichen Energie- und Wasserversorgung mit einem Versorgungsgebiet, das über die Grenzen eines Kreises hinausgeht</w:t>
      </w:r>
    </w:p>
    <w:p>
      <w:r>
        <w:t xml:space="preserve">die Dienstaufsichtsbehörde;</w:t>
      </w:r>
    </w:p>
    <w:p>
      <w:r>
        <w:t xml:space="preserve">bei Wehrpflichtigen in den im öffentlichen Auftrag stehenden Hygieneinstituten</w:t>
      </w:r>
    </w:p>
    <w:p>
      <w:r>
        <w:t xml:space="preserve">die Oberbürgermeister der kreisfreien Städte und die Landräte der Landkreise;</w:t>
      </w:r>
    </w:p>
    <w:p>
      <w:r>
        <w:t xml:space="preserve">bei Wehrpflichtigen der Krankenkassen, soweit diese Körperschaften des öffentlichen Rechts sind</w:t>
      </w:r>
    </w:p>
    <w:p>
      <w:r>
        <w:t xml:space="preserve">die Krankenkassen;</w:t>
      </w:r>
    </w:p>
    <w:p>
      <w:r>
        <w:t xml:space="preserve">im übrigen</w:t>
      </w:r>
    </w:p>
    <w:p>
      <w:r>
        <w:t xml:space="preserve">die Oberbürgermeister der kreisfreien Städte und die Landräte der Landkreise.</w:t>
      </w:r>
    </w:p>
    <w:p>
      <w:r>
        <w:rPr>
          <w:color w:val="555555"/>
          <w:sz w:val="17"/>
        </w:rPr>
        <w:t xml:space="preserve">Zitiervorschlag: § 3 VO-ID211468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https://recht.nulegal.eu/gesetze/VO-ID211468/3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