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VO-ID211467 (Brandenburg)</w:t>
      </w:r>
    </w:p>
    <w:p>
      <w:r>
        <w:rPr>
          <w:color w:val="555555"/>
          <w:sz w:val="18"/>
        </w:rPr>
        <w:t xml:space="preserve">Verordnung über die Auflösung der Wasserwirtschaftsdirektion Oder/Havel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Abwicklung ist das Ministerium für Umwelt,</w:t>
      </w:r>
    </w:p>
    <w:p>
      <w:r>
        <w:t xml:space="preserve">Naturschutz und Raumordnung zuständig.</w:t>
      </w:r>
    </w:p>
    <w:p>
      <w:r>
        <w:rPr>
          <w:color w:val="555555"/>
          <w:sz w:val="17"/>
        </w:rPr>
        <w:t xml:space="preserve">Zitiervorschlag: § 2 VO-ID211467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