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VO-ID211450 (Brandenburg)</w:t>
      </w:r>
    </w:p>
    <w:p>
      <w:r>
        <w:rPr>
          <w:color w:val="555555"/>
          <w:sz w:val="18"/>
        </w:rPr>
        <w:t xml:space="preserve">Verordnung zur Übertragung der Ermächtigung zur Festsetzung des Regelbedarfs im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Der Minister der Justiz wird ermächtigt, den Regelbedarf nach §</w:t>
      </w:r>
    </w:p>
    <w:p>
      <w:r>
        <w:t xml:space="preserve">1615 f Abs. 1 Satz 2 des Bürgerlichen Gesetzbuchs im Land Brandenburg</w:t>
      </w:r>
    </w:p>
    <w:p>
      <w:r>
        <w:t xml:space="preserve">durch Rechtsverordnung festzusetzen.</w:t>
      </w:r>
    </w:p>
    <w:p>
      <w:r>
        <w:rPr>
          <w:color w:val="555555"/>
          <w:sz w:val="17"/>
        </w:rPr>
        <w:t xml:space="preserve">Zitiervorschlag: § 1 VO-ID211450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https://recht.nulegal.eu/gesetze/VO-ID211450/1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