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VO-FIN_STUD (Brandenburg) — Projektförderung</w:t>
      </w:r>
    </w:p>
    <w:p>
      <w:r>
        <w:rPr>
          <w:color w:val="555555"/>
          <w:sz w:val="18"/>
        </w:rPr>
        <w:t xml:space="preserve">Verordnung über die Finanzierung der Studierendenwerke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größere Investitionen, einschließlich Erhaltungsinvestitionen, können den Studierendenwerken nach Maßgabe des Landeshaushaltes Zuschüsse im Rahmen von Projektförderungen gewährt werden.</w:t>
      </w:r>
    </w:p>
    <w:p>
      <w:r>
        <w:t xml:space="preserve">(2) Schuldendienste, die bisher aus Landeszuschüssen innerhalb der Zuwendungen zur Erfüllung der gesetzlichen Aufgaben geleistet wurden, werden in Form von Projektförderungen weiter gewährt.</w:t>
      </w:r>
    </w:p>
    <w:p>
      <w:r>
        <w:rPr>
          <w:color w:val="555555"/>
          <w:sz w:val="17"/>
        </w:rPr>
        <w:t xml:space="preserve">Zitiervorschlag: § 4 VO-FIN_STUD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https://recht.nulegal.eu/gesetze/VO-FIN_STUD/4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