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VO-BUERGORGPF (Brandenburg) — Inkrafttreten</w:t>
      </w:r>
    </w:p>
    <w:p>
      <w:r>
        <w:rPr>
          <w:color w:val="555555"/>
          <w:sz w:val="18"/>
        </w:rPr>
        <w:t xml:space="preserve">Verordnung zur Bestimmung der zuständigen öffentlich-rechtlichen Stelle, die die Freischaltung eines besonderen elektronischen Bürger- und Organisationenpostfachs veranlasst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2022 in Kraft.</w:t>
      </w:r>
    </w:p>
    <w:p>
      <w:r>
        <w:t xml:space="preserve">Einzelnorm</w:t>
      </w:r>
    </w:p>
    <w:p>
      <w:r>
        <w:t xml:space="preserve">Potsdam, den 27. Dezember 2021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2 VO-BUERGORGPF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https://recht.nulegal.eu/gesetze/VO-BUERGORGPF/2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