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VO-BRAOUEV (Brandenburg)</w:t>
      </w:r>
    </w:p>
    <w:p>
      <w:r>
        <w:rPr>
          <w:color w:val="555555"/>
          <w:sz w:val="18"/>
        </w:rPr>
        <w:t xml:space="preserve">Verordnung zur Übertragung von Aufgaben und Befugnissen nach der Bundesrechtsanwaltsordnung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Diese Verordnung tritt am Tag nach der Verkündung in Kraft. Gleichzeitig tritt die Verordnung zur Übertragung von Aufgaben und Befugnissen nach der Bundesrechtsanwaltsordnung und dem Gesetz über die Tätigkeit europäischer Rechtsanwälte in Deutschland vom 29. April 2002 (GVBl. II S. 255), die durch Artikel 6 des Gesetzes vom 19. Dezember 2011 ( GVBl. I Nr. 32 S. 12) geändert worden ist, außer Kraft.</w:t>
      </w:r>
    </w:p>
    <w:p>
      <w:r>
        <w:t xml:space="preserve">Einzelnorm</w:t>
      </w:r>
    </w:p>
    <w:p>
      <w:r>
        <w:t xml:space="preserve">Potsdam, den 27. August 2019</w:t>
      </w:r>
    </w:p>
    <w:p>
      <w:r>
        <w:t xml:space="preserve">Der Minister der Justiz</w:t>
      </w:r>
    </w:p>
    <w:p>
      <w:r>
        <w:t xml:space="preserve">und für Europa und Verbraucherschutz</w:t>
      </w:r>
    </w:p>
    <w:p>
      <w:r>
        <w:t xml:space="preserve">Stefan Ludwig</w:t>
      </w:r>
    </w:p>
    <w:p>
      <w:r>
        <w:rPr>
          <w:color w:val="555555"/>
          <w:sz w:val="17"/>
        </w:rPr>
        <w:t xml:space="preserve">Zitiervorschlag: § 2 VO-BRAOUEV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https://recht.nulegal.eu/gesetze/VO-BRAOUEV/2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