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VO-BRAOUEV (Brandenburg)</w:t>
      </w:r>
    </w:p>
    <w:p>
      <w:r>
        <w:rPr>
          <w:color w:val="555555"/>
          <w:sz w:val="18"/>
        </w:rPr>
        <w:t xml:space="preserve">Verordnung zur Übertragung von Aufgaben und Befugnissen nach der Bundesrechtsanwaltsordnung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den Präsidenten des Brandenburgischen Oberlandesgerichts werden folgende Aufgaben und Befugnisse übertragen:</w:t>
      </w:r>
    </w:p>
    <w:p>
      <w:r>
        <w:t xml:space="preserve">die Aufsicht über das Anwaltsgericht und den Anwaltsgerichtshof nach § 92 Absatz 3 und § 100 Absatz 1 Satz 2 der Bundesrechtsanwaltsordnung zu führen,</w:t>
      </w:r>
    </w:p>
    <w:p>
      <w:r>
        <w:t xml:space="preserve">die Geschäftsordnungen des Anwaltsgerichts und des Anwaltsgerichtshofes nach § 98 Absatz 4 Satz 2 und § 105 Absatz 2 der Bundesrechtsanwaltsordnung zu bestätigen.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VO-BRAOUEV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https://recht.nulegal.eu/gesetze/VO-BRAOUEV/1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