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VO-BBERG (Brandenburg)</w:t>
      </w:r>
    </w:p>
    <w:p>
      <w:r>
        <w:rPr>
          <w:color w:val="555555"/>
          <w:sz w:val="18"/>
        </w:rPr>
        <w:t xml:space="preserve">Verordnung zur Übertragung von Ermächtigungen nach dem Bundesberggesetz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nach § 68 Absatz 1 des Bundesberggesetzes, Bergverordnungen auf Grund der §§ 65 und 66 des Bundesberggesetzes zu erlassen, wird auf das für Wirtschaft zuständige Mitglied der Landesregierung übertragen.</w:t>
      </w:r>
    </w:p>
    <w:p>
      <w:r>
        <w:rPr>
          <w:color w:val="555555"/>
          <w:sz w:val="17"/>
        </w:rPr>
        <w:t xml:space="preserve">Zitiervorschlag: § 4 VO-BBERG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https://recht.nulegal.eu/gesetze/VO-BBERG/4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